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pageBreakBefore w:val="1"/>
        <w:rPr>
          <w:rFonts w:ascii="Calibri" w:cs="Calibri" w:hAnsi="Calibri" w:eastAsia="Calibri"/>
          <w:b w:val="1"/>
          <w:bCs w:val="1"/>
          <w:color w:val="1f497d"/>
          <w:u w:color="1f497d"/>
        </w:rPr>
      </w:pPr>
      <w:r>
        <w:rPr>
          <w:rFonts w:ascii="Calibri" w:cs="Calibri" w:hAnsi="Calibri" w:eastAsia="Calibri"/>
          <w:b w:val="1"/>
          <w:bCs w:val="1"/>
          <w:color w:val="548dd4"/>
          <w:sz w:val="20"/>
          <w:szCs w:val="20"/>
          <w:u w:color="548dd4"/>
        </w:rPr>
        <w:br w:type="textWrapping"/>
      </w:r>
      <w:r>
        <w:rPr>
          <w:rFonts w:ascii="Calibri" w:cs="Calibri" w:hAnsi="Calibri" w:eastAsia="Calibri"/>
          <w:b w:val="1"/>
          <w:bCs w:val="1"/>
          <w:color w:val="1f497d"/>
          <w:u w:color="1f497d"/>
          <w:rtl w:val="0"/>
          <w:lang w:val="it-IT"/>
        </w:rPr>
        <w:t xml:space="preserve">QUARTO  BIENNIO </w:t>
      </w:r>
      <w:r>
        <w:rPr>
          <w:rFonts w:ascii="Calibri" w:cs="Calibri" w:hAnsi="Calibri" w:eastAsia="Calibri"/>
          <w:b w:val="1"/>
          <w:bCs w:val="1"/>
          <w:color w:val="1f497d"/>
          <w:u w:color="1f497d"/>
          <w:rtl w:val="0"/>
          <w:lang w:val="it-IT"/>
        </w:rPr>
        <w:t xml:space="preserve">– </w:t>
      </w:r>
      <w:r>
        <w:rPr>
          <w:rFonts w:ascii="Calibri" w:cs="Calibri" w:hAnsi="Calibri" w:eastAsia="Calibri"/>
          <w:b w:val="1"/>
          <w:bCs w:val="1"/>
          <w:color w:val="1f497d"/>
          <w:u w:color="1f497d"/>
          <w:rtl w:val="0"/>
          <w:lang w:val="it-IT"/>
        </w:rPr>
        <w:t>classe II e III di scuola secondaria di 1</w:t>
      </w:r>
      <w:r>
        <w:rPr>
          <w:rFonts w:ascii="Calibri" w:cs="Calibri" w:hAnsi="Calibri" w:eastAsia="Calibri"/>
          <w:b w:val="1"/>
          <w:bCs w:val="1"/>
          <w:color w:val="1f497d"/>
          <w:u w:color="1f497d"/>
          <w:rtl w:val="0"/>
          <w:lang w:val="it-IT"/>
        </w:rPr>
        <w:t xml:space="preserve">° </w:t>
      </w:r>
      <w:r>
        <w:rPr>
          <w:rFonts w:ascii="Calibri" w:cs="Calibri" w:hAnsi="Calibri" w:eastAsia="Calibri"/>
          <w:b w:val="1"/>
          <w:bCs w:val="1"/>
          <w:color w:val="1f497d"/>
          <w:u w:color="1f497d"/>
          <w:rtl w:val="0"/>
          <w:lang w:val="it-IT"/>
        </w:rPr>
        <w:t>grado</w:t>
      </w:r>
    </w:p>
    <w:p>
      <w:pPr>
        <w:pStyle w:val="Corpo del testo"/>
      </w:pPr>
    </w:p>
    <w:tbl>
      <w:tblPr>
        <w:tblW w:w="14666" w:type="dxa"/>
        <w:jc w:val="left"/>
        <w:tblInd w:w="15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18"/>
        <w:gridCol w:w="3617"/>
        <w:gridCol w:w="3617"/>
        <w:gridCol w:w="3814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jc w:val="center"/>
              <w:rPr>
                <w:b w:val="1"/>
                <w:bCs w:val="1"/>
                <w:caps w:val="1"/>
                <w:kern w:val="24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227" w:right="22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24"/>
                <w:rtl w:val="0"/>
                <w:lang w:val="it-IT"/>
              </w:rPr>
              <w:t>Competenza 1</w:t>
            </w:r>
            <w:r>
              <w:rPr>
                <w:b w:val="1"/>
                <w:bCs w:val="1"/>
                <w:caps w:val="1"/>
                <w:kern w:val="24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250"/>
            </w:tcMar>
            <w:vAlign w:val="top"/>
          </w:tcPr>
          <w:p>
            <w:pPr>
              <w:pStyle w:val="Normale"/>
              <w:spacing w:after="120"/>
              <w:ind w:left="360" w:right="170" w:firstLine="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360" w:right="17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CONOSCENZE</w:t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Leggere 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organizzazione di un territorio, utilizzando il linguaggio, gli strumenti e i principi della geografia; saper interpretare tracce e fenomeni e compiere su di essi operazioni di classificazione, correlazione, inferenza e generalizzazione.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Standard"/>
              <w:widowControl w:val="1"/>
              <w:bidi w:val="0"/>
              <w:ind w:left="0" w:right="0" w:firstLine="0"/>
              <w:jc w:val="both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L'alunno 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in grado di:</w:t>
            </w:r>
          </w:p>
          <w:p>
            <w:pPr>
              <w:pStyle w:val="Standard"/>
              <w:widowControl w:val="1"/>
              <w:numPr>
                <w:ilvl w:val="0"/>
                <w:numId w:val="1"/>
              </w:numPr>
              <w:bidi w:val="0"/>
              <w:ind w:right="0"/>
              <w:jc w:val="both"/>
              <w:rPr>
                <w:b w:val="1"/>
                <w:bCs w:val="1"/>
                <w:sz w:val="24"/>
                <w:szCs w:val="24"/>
                <w:rtl w:val="0"/>
                <w:lang w:val="it-IT"/>
              </w:rPr>
            </w:pPr>
            <w:r>
              <w:rPr>
                <w:b w:val="0"/>
                <w:bCs w:val="0"/>
                <w:sz w:val="24"/>
                <w:szCs w:val="24"/>
                <w:rtl w:val="0"/>
                <w:lang w:val="it-IT"/>
              </w:rPr>
              <w:t>muoversi anche in spazi non conosciuti utilizzando carte e mappe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</w:t>
            </w:r>
          </w:p>
          <w:p>
            <w:pPr>
              <w:pStyle w:val="Standard"/>
              <w:widowControl w:val="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utilizzare anche le coordinate numeriche e sistemi di riferimento grafici, come ad esempio i reticolati per orientarsi su carte</w:t>
            </w:r>
          </w:p>
          <w:p>
            <w:pPr>
              <w:pStyle w:val="Standard"/>
              <w:widowControl w:val="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leggere, distinguere, e confrontare vari tipi di carte geografiche</w:t>
            </w:r>
          </w:p>
          <w:p>
            <w:pPr>
              <w:pStyle w:val="Standard"/>
              <w:widowControl w:val="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produrre informazioni per effettuare una ricerca utilizzando materiale cartografico anche informatico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SSG</w:t>
            </w:r>
          </w:p>
          <w:p>
            <w:pPr>
              <w:pStyle w:val="Standard"/>
              <w:widowControl w:val="1"/>
              <w:numPr>
                <w:ilvl w:val="0"/>
                <w:numId w:val="1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individuare sul planisfero i Paesi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rtl w:val="0"/>
                <w:lang w:val="it-IT"/>
              </w:rPr>
              <w:t>europei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seconda SSG ed extraeuropei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SSG confrontandone la posizione rispetto al proprio Paese di provenienza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 xml:space="preserve">indicare la posizione degli elementi di riferimento principali (tropici, equatore, meridiano di Greenwich) attraverso coordinate astronomiche  </w:t>
            </w:r>
            <w:r>
              <w:rPr>
                <w:b w:val="0"/>
                <w:bCs w:val="0"/>
                <w:rtl w:val="0"/>
                <w:lang w:val="it-IT"/>
              </w:rPr>
              <w:t>→</w:t>
            </w:r>
            <w:r>
              <w:rPr>
                <w:b w:val="0"/>
                <w:bCs w:val="0"/>
                <w:rtl w:val="0"/>
                <w:lang w:val="it-IT"/>
              </w:rPr>
              <w:t>classe terza SSG.</w:t>
            </w: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  <w:rPr>
                <w:lang w:val="it-IT"/>
              </w:rPr>
            </w:pPr>
          </w:p>
          <w:p>
            <w:pPr>
              <w:pStyle w:val="Normale"/>
            </w:pPr>
            <w:r>
              <w:rPr>
                <w:lang w:val="it-IT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1"/>
              <w:jc w:val="both"/>
              <w:rPr>
                <w:b w:val="1"/>
                <w:bCs w:val="1"/>
                <w:sz w:val="16"/>
                <w:szCs w:val="16"/>
                <w:u w:val="single"/>
                <w:lang w:val="it-IT"/>
              </w:rPr>
            </w:pPr>
          </w:p>
          <w:p>
            <w:pPr>
              <w:pStyle w:val="Standard"/>
              <w:widowControl w:val="1"/>
              <w:bidi w:val="0"/>
              <w:ind w:left="0" w:right="0" w:firstLine="0"/>
              <w:jc w:val="both"/>
              <w:rPr>
                <w:b w:val="1"/>
                <w:bCs w:val="1"/>
                <w:sz w:val="24"/>
                <w:szCs w:val="24"/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alunno conosce: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coordinate geografiche, reticolati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carte di tipologia diversa e loro funzione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gli elementi di base del linguaggio specifico delle rappresentazioni cartografiche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0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scale numeriche e scale grafiche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SSG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Stati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Europa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seconda SSG e degli altri Continenti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SSG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elementi basilari di geografia  (misurazione di latitudine e longitudine)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Grafici e di tabelle nelle varie tipologie di proiezione e di fruizione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caratteristiche geografiche e antropiche del territorio di appartenenza</w:t>
            </w:r>
          </w:p>
          <w:p>
            <w:pPr>
              <w:pStyle w:val="Standard"/>
              <w:widowControl w:val="1"/>
              <w:numPr>
                <w:ilvl w:val="0"/>
                <w:numId w:val="2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alcune fonti informatiche: Google Earth, D-Maps.</w:t>
            </w:r>
          </w:p>
          <w:p>
            <w:pPr>
              <w:pStyle w:val="Standard"/>
              <w:widowControl w:val="1"/>
              <w:ind w:right="227"/>
              <w:jc w:val="both"/>
              <w:rPr>
                <w:sz w:val="24"/>
                <w:szCs w:val="24"/>
                <w:lang w:val="it-IT"/>
              </w:rPr>
            </w:pPr>
          </w:p>
          <w:p>
            <w:pPr>
              <w:pStyle w:val="Standard"/>
              <w:widowControl w:val="1"/>
              <w:ind w:right="227"/>
              <w:jc w:val="both"/>
              <w:rPr>
                <w:sz w:val="24"/>
                <w:szCs w:val="24"/>
                <w:lang w:val="it-IT"/>
              </w:rPr>
            </w:pPr>
          </w:p>
          <w:p>
            <w:pPr>
              <w:pStyle w:val="Standard"/>
              <w:widowControl w:val="1"/>
              <w:ind w:right="227"/>
              <w:jc w:val="both"/>
              <w:rPr>
                <w:sz w:val="24"/>
                <w:szCs w:val="24"/>
                <w:lang w:val="it-IT"/>
              </w:rPr>
            </w:pPr>
          </w:p>
          <w:p>
            <w:pPr>
              <w:pStyle w:val="Standard"/>
              <w:widowControl w:val="1"/>
              <w:ind w:right="227"/>
              <w:jc w:val="both"/>
              <w:rPr>
                <w:sz w:val="24"/>
                <w:szCs w:val="24"/>
                <w:lang w:val="it-IT"/>
              </w:rPr>
            </w:pPr>
          </w:p>
          <w:p>
            <w:pPr>
              <w:pStyle w:val="Standard"/>
              <w:widowControl w:val="1"/>
              <w:ind w:right="227"/>
              <w:jc w:val="both"/>
              <w:rPr>
                <w:sz w:val="24"/>
                <w:szCs w:val="24"/>
                <w:lang w:val="it-IT"/>
              </w:rPr>
            </w:pPr>
          </w:p>
          <w:p>
            <w:pPr>
              <w:pStyle w:val="Standard"/>
              <w:widowControl w:val="1"/>
              <w:ind w:right="227"/>
              <w:jc w:val="both"/>
              <w:rPr>
                <w:sz w:val="24"/>
                <w:szCs w:val="24"/>
                <w:lang w:val="it-IT"/>
              </w:rPr>
            </w:pPr>
          </w:p>
          <w:p>
            <w:pPr>
              <w:pStyle w:val="Standard"/>
              <w:widowControl w:val="1"/>
              <w:ind w:right="227"/>
              <w:jc w:val="both"/>
            </w:pPr>
            <w:r>
              <w:rPr>
                <w:sz w:val="24"/>
                <w:szCs w:val="24"/>
                <w:lang w:val="it-IT"/>
              </w:rPr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jc w:val="center"/>
              <w:rPr>
                <w:b w:val="1"/>
                <w:bCs w:val="1"/>
                <w:caps w:val="1"/>
                <w:kern w:val="24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227" w:right="22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24"/>
                <w:rtl w:val="0"/>
                <w:lang w:val="it-IT"/>
              </w:rPr>
              <w:t>Competenza 2:</w:t>
            </w:r>
            <w:r>
              <w:rPr>
                <w:b w:val="1"/>
                <w:bCs w:val="1"/>
                <w:caps w:val="1"/>
                <w:kern w:val="24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250"/>
            </w:tcMar>
            <w:vAlign w:val="top"/>
          </w:tcPr>
          <w:p>
            <w:pPr>
              <w:pStyle w:val="Normale"/>
              <w:spacing w:after="120"/>
              <w:ind w:left="360" w:right="170" w:firstLine="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360" w:right="17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CONOSCENZE</w:t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8948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ind w:left="227" w:right="227" w:firstLine="0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227" w:right="227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Partendo dall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analisi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 xml:space="preserve">ambiente regionale, comprendere che ogni territorio </w:t>
            </w:r>
            <w:r>
              <w:rPr>
                <w:b w:val="1"/>
                <w:bCs w:val="1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rtl w:val="0"/>
                <w:lang w:val="it-IT"/>
              </w:rPr>
              <w:t>una struttura complessa e dinamica, caratterizzata dall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interazione tra uomo e ambiente: riconoscere le modificazioni apportate nel tempo dall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uomo sul territorio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 xml:space="preserve">alunno </w:t>
            </w:r>
            <w:r>
              <w:rPr>
                <w:b w:val="1"/>
                <w:bCs w:val="1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rtl w:val="0"/>
                <w:lang w:val="it-IT"/>
              </w:rPr>
              <w:t>in grado di:</w:t>
            </w: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Standard"/>
              <w:widowControl w:val="1"/>
              <w:numPr>
                <w:ilvl w:val="0"/>
                <w:numId w:val="3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individuare la specificit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dei diversi ambienti  distinguendo le caratteristiche  originarie da quelle dovute a modifiche successive causate dall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intervento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uomo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>individuare e confrontare le articolazioni di una questione territoriale (es.: economica, ambientale, antropologica); ipotizzare cause.</w:t>
            </w: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</w:pPr>
            <w:r>
              <w:rPr>
                <w:b w:val="1"/>
                <w:bCs w:val="1"/>
                <w:lang w:val="it-IT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1"/>
              <w:jc w:val="both"/>
            </w:pPr>
          </w:p>
          <w:p>
            <w:pPr>
              <w:pStyle w:val="Standard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alunno conosce:</w:t>
            </w:r>
          </w:p>
          <w:p>
            <w:pPr>
              <w:pStyle w:val="Standard"/>
              <w:widowControl w:val="1"/>
              <w:numPr>
                <w:ilvl w:val="0"/>
                <w:numId w:val="4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elementi del rapporto tra uomo e ambiente di vita</w:t>
            </w:r>
          </w:p>
          <w:p>
            <w:pPr>
              <w:pStyle w:val="Standard"/>
              <w:widowControl w:val="1"/>
              <w:numPr>
                <w:ilvl w:val="0"/>
                <w:numId w:val="4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correlazione tra organizzazione socio-economica e risorse fornite dal territorio, con particolare attenzione ai settori primario, secondario, terziario, terziario avanzato.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jc w:val="center"/>
              <w:rPr>
                <w:b w:val="1"/>
                <w:bCs w:val="1"/>
                <w:caps w:val="1"/>
                <w:kern w:val="24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227" w:right="22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24"/>
                <w:rtl w:val="0"/>
                <w:lang w:val="it-IT"/>
              </w:rPr>
              <w:t>Competenza 3:</w:t>
            </w:r>
            <w:r>
              <w:rPr>
                <w:b w:val="1"/>
                <w:bCs w:val="1"/>
                <w:caps w:val="1"/>
                <w:kern w:val="24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250"/>
            </w:tcMar>
            <w:vAlign w:val="top"/>
          </w:tcPr>
          <w:p>
            <w:pPr>
              <w:pStyle w:val="Normale"/>
              <w:spacing w:after="120"/>
              <w:ind w:left="360" w:right="170" w:firstLine="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360" w:right="17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CONOSCENZE</w:t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9472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ind w:right="227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ind w:left="227" w:right="227" w:firstLine="0"/>
              <w:jc w:val="both"/>
              <w:rPr>
                <w:b w:val="1"/>
                <w:bCs w:val="1"/>
                <w:lang w:val="it-IT"/>
              </w:rPr>
            </w:pPr>
          </w:p>
          <w:p>
            <w:pPr>
              <w:pStyle w:val="Standard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Conoscere territori vicini e lontani e ambienti diversi, saperli confrontare, cogliendo i vari punti di vista con cui si pu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ò 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osservare la realt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geografica (geografia fisica, antropologica, economica, politica, ecc.)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b w:val="1"/>
                <w:bCs w:val="1"/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 xml:space="preserve">alunno </w:t>
            </w:r>
            <w:r>
              <w:rPr>
                <w:b w:val="1"/>
                <w:bCs w:val="1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rtl w:val="0"/>
                <w:lang w:val="it-IT"/>
              </w:rPr>
              <w:t>in grado di:</w:t>
            </w:r>
          </w:p>
          <w:p>
            <w:pPr>
              <w:pStyle w:val="Normale"/>
              <w:rPr>
                <w:b w:val="1"/>
                <w:bCs w:val="1"/>
                <w:lang w:val="it-IT"/>
              </w:rPr>
            </w:pPr>
          </w:p>
          <w:p>
            <w:pPr>
              <w:pStyle w:val="Standard"/>
              <w:widowControl w:val="1"/>
              <w:numPr>
                <w:ilvl w:val="0"/>
                <w:numId w:val="5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confrontare realt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geografiche vicine e lontane, cogliendone differenze e somiglianze fisiche, organizzative...</w:t>
            </w:r>
          </w:p>
          <w:p>
            <w:pPr>
              <w:pStyle w:val="Standard"/>
              <w:widowControl w:val="1"/>
              <w:numPr>
                <w:ilvl w:val="0"/>
                <w:numId w:val="5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descrivere i diversi climi e habitat naturali e la loro influenza sulla distribuzione e concentrazione della popolazione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SSPG</w:t>
            </w:r>
          </w:p>
          <w:p>
            <w:pPr>
              <w:pStyle w:val="Standard"/>
              <w:widowControl w:val="1"/>
              <w:numPr>
                <w:ilvl w:val="0"/>
                <w:numId w:val="5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valutare i vantaggi e gli svantaggi dei flussi migratori nelle aree di fuga e in quelle di accoglienza</w:t>
            </w:r>
          </w:p>
          <w:p>
            <w:pPr>
              <w:pStyle w:val="Standard"/>
              <w:widowControl w:val="1"/>
              <w:numPr>
                <w:ilvl w:val="0"/>
                <w:numId w:val="5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cogliere gli aspetti pi</w:t>
            </w:r>
            <w:r>
              <w:rPr>
                <w:sz w:val="24"/>
                <w:szCs w:val="24"/>
                <w:rtl w:val="0"/>
                <w:lang w:val="it-IT"/>
              </w:rPr>
              <w:t xml:space="preserve">ù </w:t>
            </w:r>
            <w:r>
              <w:rPr>
                <w:sz w:val="24"/>
                <w:szCs w:val="24"/>
                <w:rtl w:val="0"/>
                <w:lang w:val="it-IT"/>
              </w:rPr>
              <w:t>evidenti della globalizzazione e i suoi effetti sulla societ</w:t>
            </w:r>
            <w:r>
              <w:rPr>
                <w:sz w:val="24"/>
                <w:szCs w:val="24"/>
                <w:rtl w:val="0"/>
                <w:lang w:val="it-IT"/>
              </w:rPr>
              <w:t>à →</w:t>
            </w:r>
            <w:r>
              <w:rPr>
                <w:sz w:val="24"/>
                <w:szCs w:val="24"/>
                <w:rtl w:val="0"/>
                <w:lang w:val="it-IT"/>
              </w:rPr>
              <w:t>classe terza SSPG</w:t>
            </w:r>
          </w:p>
          <w:p>
            <w:pPr>
              <w:pStyle w:val="Standard"/>
              <w:widowControl w:val="1"/>
              <w:numPr>
                <w:ilvl w:val="0"/>
                <w:numId w:val="5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confrontare alcune forme di governo e di organizzazione sociale</w:t>
            </w:r>
          </w:p>
          <w:p>
            <w:pPr>
              <w:pStyle w:val="Standard"/>
              <w:widowControl w:val="1"/>
              <w:numPr>
                <w:ilvl w:val="0"/>
                <w:numId w:val="5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cogliere il significato degli indici pi</w:t>
            </w:r>
            <w:r>
              <w:rPr>
                <w:sz w:val="24"/>
                <w:szCs w:val="24"/>
                <w:rtl w:val="0"/>
                <w:lang w:val="it-IT"/>
              </w:rPr>
              <w:t xml:space="preserve">ù </w:t>
            </w:r>
            <w:r>
              <w:rPr>
                <w:sz w:val="24"/>
                <w:szCs w:val="24"/>
                <w:rtl w:val="0"/>
                <w:lang w:val="it-IT"/>
              </w:rPr>
              <w:t>utilizzati (es.: PIL,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 xml:space="preserve"> </w:t>
            </w:r>
            <w:r>
              <w:rPr>
                <w:sz w:val="24"/>
                <w:szCs w:val="24"/>
                <w:rtl w:val="0"/>
                <w:lang w:val="it-IT"/>
              </w:rPr>
              <w:t>ISU)</w:t>
            </w:r>
          </w:p>
          <w:p>
            <w:pPr>
              <w:pStyle w:val="Normale"/>
              <w:numPr>
                <w:ilvl w:val="0"/>
                <w:numId w:val="5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>esporre in una presentazione uno Stato del mondo nelle sue caratteristiche geopolitiche essenziali.</w:t>
            </w: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167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167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167" w:firstLine="0"/>
              <w:rPr>
                <w:b w:val="1"/>
                <w:bCs w:val="1"/>
                <w:lang w:val="it-IT"/>
              </w:rPr>
            </w:pPr>
          </w:p>
          <w:p>
            <w:pPr>
              <w:pStyle w:val="Normale"/>
              <w:ind w:left="360" w:firstLine="0"/>
            </w:pPr>
            <w:r>
              <w:rPr>
                <w:b w:val="1"/>
                <w:bCs w:val="1"/>
                <w:lang w:val="it-IT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>
            <w:pPr>
              <w:pStyle w:val="Standard"/>
              <w:widowControl w:val="1"/>
              <w:ind w:left="360" w:firstLine="0"/>
              <w:jc w:val="both"/>
            </w:pPr>
          </w:p>
          <w:p>
            <w:pPr>
              <w:pStyle w:val="Standard"/>
              <w:widowControl w:val="1"/>
              <w:bidi w:val="0"/>
              <w:ind w:left="36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L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4"/>
                <w:szCs w:val="24"/>
                <w:rtl w:val="0"/>
                <w:lang w:val="it-IT"/>
              </w:rPr>
              <w:t>alunno conosce: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climi e habitat del mondo.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SSPG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suddivisione delle aree economiche del pianeta.</w:t>
            </w:r>
            <w:r>
              <w:rPr>
                <w:sz w:val="24"/>
                <w:szCs w:val="24"/>
                <w:rtl w:val="0"/>
                <w:lang w:val="it-IT"/>
              </w:rPr>
              <w:t>→</w:t>
            </w:r>
            <w:r>
              <w:rPr>
                <w:sz w:val="24"/>
                <w:szCs w:val="24"/>
                <w:rtl w:val="0"/>
                <w:lang w:val="it-IT"/>
              </w:rPr>
              <w:t>classe terza SSPG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flussi migratori e distribuzione demografica.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le forme di governo.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organizzazioni internazionali     (governative e non governative) e le rispettive istituzioni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varie carte tematiche, grafici, mezzi audiovisivi e Internet.</w:t>
            </w:r>
          </w:p>
          <w:p>
            <w:pPr>
              <w:pStyle w:val="Standard"/>
              <w:widowControl w:val="1"/>
              <w:numPr>
                <w:ilvl w:val="0"/>
                <w:numId w:val="6"/>
              </w:numPr>
              <w:bidi w:val="0"/>
              <w:ind w:right="0"/>
              <w:jc w:val="both"/>
              <w:rPr>
                <w:b w:val="1"/>
                <w:bCs w:val="1"/>
                <w:sz w:val="24"/>
                <w:szCs w:val="24"/>
                <w:u w:val="single"/>
                <w:rtl w:val="0"/>
                <w:lang w:val="it-IT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rtl w:val="0"/>
                <w:lang w:val="it-IT"/>
              </w:rPr>
              <w:t xml:space="preserve">diversi contesti ambientali </w:t>
            </w:r>
            <w:r>
              <w:rPr>
                <w:b w:val="1"/>
                <w:bCs w:val="1"/>
                <w:sz w:val="24"/>
                <w:szCs w:val="24"/>
                <w:u w:val="single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u w:val="none"/>
                <w:rtl w:val="0"/>
                <w:lang w:val="it-IT"/>
              </w:rPr>
              <w:t>e socio-culturali: stereotipi e pregiudizi.</w:t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jc w:val="center"/>
              <w:rPr>
                <w:b w:val="1"/>
                <w:bCs w:val="1"/>
                <w:caps w:val="1"/>
                <w:kern w:val="24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0" w:right="227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24"/>
                <w:rtl w:val="0"/>
                <w:lang w:val="it-IT"/>
              </w:rPr>
              <w:t>Competenza 4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250"/>
            </w:tcMar>
            <w:vAlign w:val="top"/>
          </w:tcPr>
          <w:p>
            <w:pPr>
              <w:pStyle w:val="Normale"/>
              <w:spacing w:after="120"/>
              <w:ind w:left="360" w:right="170" w:firstLine="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360" w:right="17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ABILIT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120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spacing w:after="12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CONOSCENZE</w:t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caps w:val="1"/>
                <w:kern w:val="2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caps w:val="1"/>
                <w:kern w:val="1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8643" w:hRule="atLeast"/>
        </w:trPr>
        <w:tc>
          <w:tcPr>
            <w:tcW w:type="dxa" w:w="36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Default"/>
              <w:widowControl w:val="1"/>
              <w:ind w:left="227" w:right="227" w:firstLine="0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ind w:left="227" w:right="227" w:firstLine="0"/>
              <w:rPr>
                <w:b w:val="1"/>
                <w:bCs w:val="1"/>
                <w:lang w:val="it-IT"/>
              </w:rPr>
            </w:pPr>
          </w:p>
          <w:p>
            <w:pPr>
              <w:pStyle w:val="Default"/>
              <w:widowControl w:val="1"/>
              <w:bidi w:val="0"/>
              <w:ind w:left="227" w:right="227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Avere coscienza delle conseguenze positive e negative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azione dell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uomo sul territorio, rispettare 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ambiente e agire in modo responsabile nell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>ottica di uno sviluppo sostenibile.</w:t>
            </w:r>
            <w:r>
              <w:rPr>
                <w:b w:val="1"/>
                <w:bCs w:val="1"/>
              </w:rPr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rtl w:val="0"/>
                <w:lang w:val="it-IT"/>
              </w:rPr>
              <w:t>L</w:t>
            </w:r>
            <w:r>
              <w:rPr>
                <w:b w:val="1"/>
                <w:bCs w:val="1"/>
                <w:rtl w:val="0"/>
                <w:lang w:val="it-IT"/>
              </w:rPr>
              <w:t>’</w:t>
            </w:r>
            <w:r>
              <w:rPr>
                <w:b w:val="1"/>
                <w:bCs w:val="1"/>
                <w:rtl w:val="0"/>
                <w:lang w:val="it-IT"/>
              </w:rPr>
              <w:t xml:space="preserve">alunno </w:t>
            </w:r>
            <w:r>
              <w:rPr>
                <w:b w:val="1"/>
                <w:bCs w:val="1"/>
                <w:rtl w:val="0"/>
                <w:lang w:val="it-IT"/>
              </w:rPr>
              <w:t xml:space="preserve">è </w:t>
            </w:r>
            <w:r>
              <w:rPr>
                <w:b w:val="1"/>
                <w:bCs w:val="1"/>
                <w:rtl w:val="0"/>
                <w:lang w:val="it-IT"/>
              </w:rPr>
              <w:t>in grado di:</w:t>
            </w:r>
          </w:p>
          <w:p>
            <w:pPr>
              <w:pStyle w:val="Normale"/>
            </w:pPr>
          </w:p>
          <w:p>
            <w:pPr>
              <w:pStyle w:val="Standard"/>
              <w:widowControl w:val="1"/>
              <w:numPr>
                <w:ilvl w:val="0"/>
                <w:numId w:val="7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indicare e adottare modalita' di comportamento di rispetto 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ambiente</w:t>
            </w:r>
          </w:p>
          <w:p>
            <w:pPr>
              <w:pStyle w:val="Standard"/>
              <w:widowControl w:val="1"/>
              <w:numPr>
                <w:ilvl w:val="0"/>
                <w:numId w:val="8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utilizzare schemi di sintesi, carte di vario tipo, grafici, immagini, documenti e dati quantitativi e qualitativi, desunti da diverse fonti (testi specifici, stampa, televisione, audiovisivi, Internet) per presentare un tema o un problema attuale</w:t>
            </w:r>
          </w:p>
          <w:p>
            <w:pPr>
              <w:pStyle w:val="Standard"/>
              <w:widowControl w:val="1"/>
              <w:numPr>
                <w:ilvl w:val="0"/>
                <w:numId w:val="9"/>
              </w:numPr>
              <w:bidi w:val="0"/>
              <w:ind w:right="227"/>
              <w:jc w:val="both"/>
              <w:rPr>
                <w:sz w:val="24"/>
                <w:szCs w:val="24"/>
                <w:rtl w:val="0"/>
                <w:lang w:val="it-IT"/>
              </w:rPr>
            </w:pPr>
            <w:r>
              <w:rPr>
                <w:sz w:val="24"/>
                <w:szCs w:val="24"/>
                <w:rtl w:val="0"/>
                <w:lang w:val="it-IT"/>
              </w:rPr>
              <w:t>svolgere ed esporre ricerche su tematiche geografiche contemporanee</w:t>
            </w:r>
          </w:p>
          <w:p>
            <w:pPr>
              <w:pStyle w:val="Normale"/>
              <w:numPr>
                <w:ilvl w:val="0"/>
                <w:numId w:val="9"/>
              </w:numPr>
              <w:bidi w:val="0"/>
              <w:ind w:right="0"/>
              <w:jc w:val="left"/>
              <w:rPr>
                <w:b w:val="1"/>
                <w:bCs w:val="1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>riconoscere nel paesaggio i beni fisici, artistici e</w:t>
            </w:r>
            <w:r>
              <w:rPr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rtl w:val="0"/>
                <w:lang w:val="it-IT"/>
              </w:rPr>
              <w:t>architettonici, come patrimonio naturale  e culturale da rispettare,</w:t>
            </w:r>
            <w:r>
              <w:rPr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rtl w:val="0"/>
                <w:lang w:val="it-IT"/>
              </w:rPr>
              <w:t>tutelare e</w:t>
            </w:r>
            <w:r>
              <w:rPr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rtl w:val="0"/>
                <w:lang w:val="it-IT"/>
              </w:rPr>
              <w:t>valorizzare.</w:t>
            </w:r>
          </w:p>
        </w:tc>
        <w:tc>
          <w:tcPr>
            <w:tcW w:type="dxa" w:w="36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307"/>
            </w:tcMar>
            <w:vAlign w:val="top"/>
          </w:tcPr>
          <w:p>
            <w:pPr>
              <w:pStyle w:val="Intestazione tabella"/>
              <w:ind w:right="227"/>
              <w:jc w:val="both"/>
              <w:rPr>
                <w:lang w:val="it-IT"/>
              </w:rPr>
            </w:pPr>
          </w:p>
          <w:p>
            <w:pPr>
              <w:pStyle w:val="Intestazione tabella"/>
              <w:ind w:right="227"/>
            </w:pPr>
            <w:r>
              <w:rPr>
                <w:rtl w:val="0"/>
                <w:lang w:val="it-IT"/>
              </w:rPr>
              <w:t>L</w:t>
            </w:r>
            <w:r>
              <w:rPr>
                <w:rtl w:val="0"/>
                <w:lang w:val="it-IT"/>
              </w:rPr>
              <w:t>’</w:t>
            </w:r>
            <w:r>
              <w:rPr>
                <w:rtl w:val="0"/>
                <w:lang w:val="it-IT"/>
              </w:rPr>
              <w:t>alunno conosce:</w:t>
            </w:r>
          </w:p>
          <w:p>
            <w:pPr>
              <w:pStyle w:val="Intestazione tabella"/>
              <w:ind w:right="227"/>
              <w:jc w:val="both"/>
              <w:rPr>
                <w:lang w:val="it-IT"/>
              </w:rPr>
            </w:pPr>
          </w:p>
          <w:p>
            <w:pPr>
              <w:pStyle w:val="Intestazione tabella"/>
              <w:numPr>
                <w:ilvl w:val="0"/>
                <w:numId w:val="10"/>
              </w:numPr>
              <w:bidi w:val="0"/>
              <w:ind w:right="227"/>
              <w:jc w:val="both"/>
              <w:rPr>
                <w:b w:val="0"/>
                <w:bCs w:val="0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>i principali problemi ecologici (sviluppo sostenibile, buco dell</w:t>
            </w:r>
            <w:r>
              <w:rPr>
                <w:b w:val="0"/>
                <w:bCs w:val="0"/>
                <w:rtl w:val="0"/>
                <w:lang w:val="it-IT"/>
              </w:rPr>
              <w:t>’</w:t>
            </w:r>
            <w:r>
              <w:rPr>
                <w:b w:val="0"/>
                <w:bCs w:val="0"/>
                <w:rtl w:val="0"/>
                <w:lang w:val="it-IT"/>
              </w:rPr>
              <w:t>ozono, deforestazione, desertificazione, inquinamento,</w:t>
            </w:r>
            <w:r>
              <w:rPr>
                <w:b w:val="0"/>
                <w:bCs w:val="0"/>
                <w:rtl w:val="0"/>
                <w:lang w:val="it-IT"/>
              </w:rPr>
              <w:t>…</w:t>
            </w:r>
            <w:r>
              <w:rPr>
                <w:b w:val="0"/>
                <w:bCs w:val="0"/>
                <w:rtl w:val="0"/>
                <w:lang w:val="it-IT"/>
              </w:rPr>
              <w:t>)</w:t>
            </w:r>
          </w:p>
          <w:p>
            <w:pPr>
              <w:pStyle w:val="Intestazione tabella"/>
              <w:ind w:left="227" w:right="227" w:firstLine="0"/>
              <w:jc w:val="both"/>
              <w:rPr>
                <w:b w:val="0"/>
                <w:bCs w:val="0"/>
                <w:lang w:val="it-IT"/>
              </w:rPr>
            </w:pPr>
          </w:p>
          <w:p>
            <w:pPr>
              <w:pStyle w:val="Intestazione tabella"/>
              <w:numPr>
                <w:ilvl w:val="0"/>
                <w:numId w:val="10"/>
              </w:numPr>
              <w:bidi w:val="0"/>
              <w:ind w:right="227"/>
              <w:jc w:val="both"/>
              <w:rPr>
                <w:b w:val="0"/>
                <w:bCs w:val="0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>Le attivit</w:t>
            </w:r>
            <w:r>
              <w:rPr>
                <w:b w:val="0"/>
                <w:bCs w:val="0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rtl w:val="0"/>
                <w:lang w:val="it-IT"/>
              </w:rPr>
              <w:t>delle principali associazioni che lavorano per la salvaguardia dell</w:t>
            </w:r>
            <w:r>
              <w:rPr>
                <w:b w:val="0"/>
                <w:bCs w:val="0"/>
                <w:rtl w:val="0"/>
                <w:lang w:val="it-IT"/>
              </w:rPr>
              <w:t>’</w:t>
            </w:r>
            <w:r>
              <w:rPr>
                <w:b w:val="0"/>
                <w:bCs w:val="0"/>
                <w:rtl w:val="0"/>
                <w:lang w:val="it-IT"/>
              </w:rPr>
              <w:t>ambiente e del patrimonio culturale sia a livello locale che internazionale</w:t>
            </w:r>
          </w:p>
          <w:p>
            <w:pPr>
              <w:pStyle w:val="Intestazione tabella"/>
              <w:ind w:left="227" w:right="227" w:firstLine="0"/>
              <w:jc w:val="both"/>
              <w:rPr>
                <w:b w:val="0"/>
                <w:bCs w:val="0"/>
                <w:lang w:val="it-IT"/>
              </w:rPr>
            </w:pPr>
          </w:p>
          <w:p>
            <w:pPr>
              <w:pStyle w:val="Intestazione tabella"/>
              <w:ind w:left="227" w:right="227" w:firstLine="0"/>
              <w:jc w:val="both"/>
              <w:rPr>
                <w:b w:val="0"/>
                <w:bCs w:val="0"/>
                <w:lang w:val="it-IT"/>
              </w:rPr>
            </w:pPr>
          </w:p>
          <w:p>
            <w:pPr>
              <w:pStyle w:val="Intestazione tabella"/>
              <w:ind w:left="227" w:right="227" w:firstLine="0"/>
              <w:jc w:val="both"/>
              <w:rPr>
                <w:b w:val="0"/>
                <w:bCs w:val="0"/>
                <w:lang w:val="it-IT"/>
              </w:rPr>
            </w:pPr>
          </w:p>
          <w:p>
            <w:pPr>
              <w:pStyle w:val="Intestazione tabella"/>
              <w:numPr>
                <w:ilvl w:val="0"/>
                <w:numId w:val="10"/>
              </w:numPr>
              <w:bidi w:val="0"/>
              <w:ind w:right="227"/>
              <w:jc w:val="both"/>
              <w:rPr>
                <w:b w:val="0"/>
                <w:bCs w:val="0"/>
                <w:rtl w:val="0"/>
                <w:lang w:val="it-IT"/>
              </w:rPr>
            </w:pPr>
            <w:r>
              <w:rPr>
                <w:b w:val="0"/>
                <w:bCs w:val="0"/>
                <w:rtl w:val="0"/>
                <w:lang w:val="it-IT"/>
              </w:rPr>
              <w:t>I concetti di sviluppo umano, sviluppo sostenibile, globalizzazione.</w:t>
            </w:r>
          </w:p>
          <w:p>
            <w:pPr>
              <w:pStyle w:val="Standard"/>
              <w:widowControl w:val="1"/>
              <w:jc w:val="both"/>
            </w:pPr>
            <w:r>
              <w:rPr>
                <w:b w:val="1"/>
                <w:bCs w:val="1"/>
                <w:sz w:val="24"/>
                <w:szCs w:val="24"/>
                <w:u w:val="single"/>
                <w:lang w:val="it-IT"/>
              </w:rPr>
            </w:r>
          </w:p>
        </w:tc>
        <w:tc>
          <w:tcPr>
            <w:tcW w:type="dxa" w:w="38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del testo"/>
        <w:ind w:left="43" w:hanging="43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6840" w:h="11900" w:orient="landscape"/>
      <w:pgMar w:top="1134" w:right="1134" w:bottom="1134" w:left="113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ind w:left="4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50"/>
        </w:tabs>
        <w:ind w:left="117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50"/>
        </w:tabs>
        <w:ind w:left="189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0"/>
        </w:tabs>
        <w:ind w:left="261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50"/>
        </w:tabs>
        <w:ind w:left="333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50"/>
        </w:tabs>
        <w:ind w:left="405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0"/>
        </w:tabs>
        <w:ind w:left="477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50"/>
        </w:tabs>
        <w:ind w:left="549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50"/>
        </w:tabs>
        <w:ind w:left="6210" w:hanging="6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left" w:pos="643"/>
        </w:tabs>
        <w:ind w:left="4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450"/>
          <w:tab w:val="left" w:pos="643"/>
        </w:tabs>
        <w:ind w:left="124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450"/>
          <w:tab w:val="left" w:pos="643"/>
        </w:tabs>
        <w:ind w:left="196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50"/>
          <w:tab w:val="left" w:pos="643"/>
        </w:tabs>
        <w:ind w:left="268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450"/>
          <w:tab w:val="left" w:pos="643"/>
        </w:tabs>
        <w:ind w:left="340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450"/>
          <w:tab w:val="left" w:pos="643"/>
        </w:tabs>
        <w:ind w:left="412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50"/>
          <w:tab w:val="left" w:pos="643"/>
        </w:tabs>
        <w:ind w:left="484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450"/>
          <w:tab w:val="left" w:pos="643"/>
        </w:tabs>
        <w:ind w:left="556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450"/>
          <w:tab w:val="left" w:pos="643"/>
        </w:tabs>
        <w:ind w:left="6287" w:hanging="55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lvl w:ilvl="0">
        <w:start w:val="1"/>
        <w:numFmt w:val="bullet"/>
        <w:suff w:val="tab"/>
        <w:lvlText w:val="▪"/>
        <w:lvlJc w:val="left"/>
        <w:pPr>
          <w:ind w:left="450" w:hanging="28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tabs>
            <w:tab w:val="left" w:pos="450"/>
          </w:tabs>
          <w:ind w:left="124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450"/>
          </w:tabs>
          <w:ind w:left="196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50"/>
          </w:tabs>
          <w:ind w:left="268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450"/>
          </w:tabs>
          <w:ind w:left="340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450"/>
          </w:tabs>
          <w:ind w:left="412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50"/>
          </w:tabs>
          <w:ind w:left="484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450"/>
          </w:tabs>
          <w:ind w:left="556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450"/>
          </w:tabs>
          <w:ind w:left="6287" w:hanging="47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vertAlign w:val="baseline"/>
      <w:lang w:val="it-IT"/>
    </w:rPr>
  </w:style>
  <w:style w:type="paragraph" w:styleId="Intestazione tabella">
    <w:name w:val="Intestazione tabella"/>
    <w:next w:val="Intestazione tabell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